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3C8" w14:textId="7F455508" w:rsidR="007F0A68" w:rsidRPr="00DD65C8" w:rsidRDefault="007F0A68" w:rsidP="001F0D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F26D354" w14:textId="77777777" w:rsidR="00DD65C8" w:rsidRDefault="00DD65C8" w:rsidP="001F0D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33DEDD0" w14:textId="34918EFA" w:rsidR="007F0A68" w:rsidRPr="007F0AC7" w:rsidRDefault="00DD65C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="007F0A68" w:rsidRPr="007F0AC7">
        <w:rPr>
          <w:rFonts w:ascii="Arial" w:hAnsi="Arial" w:cs="Arial"/>
          <w:color w:val="000000"/>
          <w:sz w:val="18"/>
          <w:szCs w:val="18"/>
          <w:lang w:val="en-US"/>
        </w:rPr>
        <w:t>ccording to Regulation (EC) No. 1907/2006</w:t>
      </w:r>
    </w:p>
    <w:p w14:paraId="69D90945" w14:textId="639E1FF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Version </w:t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.0 Revision Date </w:t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202</w:t>
      </w:r>
      <w:r w:rsidR="00E6508F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="00BC32B0">
        <w:rPr>
          <w:rFonts w:ascii="Arial" w:hAnsi="Arial" w:cs="Arial"/>
          <w:color w:val="000000"/>
          <w:sz w:val="18"/>
          <w:szCs w:val="18"/>
          <w:lang w:val="en-US"/>
        </w:rPr>
        <w:t>0</w:t>
      </w:r>
      <w:r w:rsidR="00E6508F">
        <w:rPr>
          <w:rFonts w:ascii="Arial" w:hAnsi="Arial" w:cs="Arial"/>
          <w:color w:val="000000"/>
          <w:sz w:val="18"/>
          <w:szCs w:val="18"/>
          <w:lang w:val="en-US"/>
        </w:rPr>
        <w:t>8</w:t>
      </w:r>
      <w:r w:rsidR="00BC32B0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="00E6508F">
        <w:rPr>
          <w:rFonts w:ascii="Arial" w:hAnsi="Arial" w:cs="Arial"/>
          <w:color w:val="000000"/>
          <w:sz w:val="18"/>
          <w:szCs w:val="18"/>
          <w:lang w:val="en-US"/>
        </w:rPr>
        <w:t>11</w:t>
      </w:r>
    </w:p>
    <w:p w14:paraId="0FDAEBE4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6458B8F" w14:textId="1EF7E8F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Print Date </w:t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fldChar w:fldCharType="begin"/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instrText xml:space="preserve"> DATE \@ "MMMM d, yyyy" </w:instrText>
      </w:r>
      <w:r w:rsidR="00534E05">
        <w:rPr>
          <w:rFonts w:ascii="Arial" w:hAnsi="Arial" w:cs="Arial"/>
          <w:color w:val="000000"/>
          <w:sz w:val="18"/>
          <w:szCs w:val="18"/>
          <w:lang w:val="en-US"/>
        </w:rPr>
        <w:fldChar w:fldCharType="separate"/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fldChar w:fldCharType="end"/>
      </w:r>
    </w:p>
    <w:p w14:paraId="7507D193" w14:textId="04B65D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GENERIC EU MSDS - NO COUNTRY SPECIFIC DATA - NO OEL DATA</w:t>
      </w:r>
    </w:p>
    <w:p w14:paraId="631D3648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7FFF26E" w14:textId="2E8C5C4F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1: Identification of the substance/mixture and of the company/undertaking</w:t>
      </w:r>
    </w:p>
    <w:p w14:paraId="410453E2" w14:textId="77777777" w:rsidR="007F0A68" w:rsidRPr="006A4B3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6A4B3D">
        <w:rPr>
          <w:rFonts w:ascii="Arial" w:hAnsi="Arial" w:cs="Arial"/>
          <w:bCs/>
          <w:color w:val="000000"/>
          <w:sz w:val="18"/>
          <w:szCs w:val="18"/>
          <w:lang w:val="en-US"/>
        </w:rPr>
        <w:t>1.1 Product identifiers</w:t>
      </w:r>
    </w:p>
    <w:p w14:paraId="5E12CA7C" w14:textId="443D9E00" w:rsidR="007F0A68" w:rsidRPr="00E07B3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Product name:</w:t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proofErr w:type="spellStart"/>
      <w:r w:rsidR="00E07B38" w:rsidRPr="00A31D2A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Naveni</w:t>
      </w:r>
      <w:r w:rsidR="00E6508F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Flex</w:t>
      </w:r>
      <w:proofErr w:type="spellEnd"/>
      <w:r w:rsidR="00E6508F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Cell </w:t>
      </w:r>
    </w:p>
    <w:p w14:paraId="12F598F3" w14:textId="36EB665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E07B38">
        <w:rPr>
          <w:rFonts w:ascii="Arial" w:hAnsi="Arial" w:cs="Arial"/>
          <w:color w:val="000000"/>
          <w:sz w:val="18"/>
          <w:szCs w:val="18"/>
          <w:lang w:val="en-US"/>
        </w:rPr>
        <w:t>Brand:</w:t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E07B38">
        <w:rPr>
          <w:rFonts w:ascii="Arial" w:hAnsi="Arial" w:cs="Arial"/>
          <w:color w:val="000000"/>
          <w:sz w:val="18"/>
          <w:szCs w:val="18"/>
          <w:lang w:val="en-US"/>
        </w:rPr>
        <w:t>Navinci</w:t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 xml:space="preserve"> Diagnostic</w:t>
      </w:r>
      <w:r w:rsidR="00C85A4A" w:rsidRPr="00E07B38"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="007345C8">
        <w:rPr>
          <w:rFonts w:ascii="Arial" w:hAnsi="Arial" w:cs="Arial"/>
          <w:color w:val="000000"/>
          <w:sz w:val="18"/>
          <w:szCs w:val="18"/>
          <w:lang w:val="en-US"/>
        </w:rPr>
        <w:t xml:space="preserve"> AB</w:t>
      </w:r>
    </w:p>
    <w:p w14:paraId="4EE8735B" w14:textId="6EA659E2" w:rsidR="007F0A68" w:rsidRPr="007F0AC7" w:rsidRDefault="007F0A68" w:rsidP="00B665CF">
      <w:pPr>
        <w:autoSpaceDE w:val="0"/>
        <w:autoSpaceDN w:val="0"/>
        <w:adjustRightInd w:val="0"/>
        <w:spacing w:after="0" w:line="240" w:lineRule="auto"/>
        <w:ind w:left="2880" w:hanging="288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REACH No.: </w:t>
      </w:r>
      <w:r>
        <w:tab/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 registration number is not available for this substance as the substance or its uses are </w:t>
      </w:r>
      <w:r w:rsidR="30D4B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exempt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from registration, the annual tonnage does not require </w:t>
      </w:r>
      <w:r w:rsidR="53733ACA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registration</w:t>
      </w:r>
      <w:r w:rsidR="005E0437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,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or the registration is envisaged for a later registration deadline.</w:t>
      </w:r>
    </w:p>
    <w:p w14:paraId="0479DE34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783B90D" w14:textId="77777777" w:rsidR="006A4B3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1.2 Relevant identified uses of the substance or mixture and uses advised against</w:t>
      </w:r>
      <w:r w:rsid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</w:p>
    <w:p w14:paraId="4054E397" w14:textId="443D3CAB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Identified </w:t>
      </w:r>
      <w:r w:rsidR="005E0437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uses: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>
        <w:tab/>
      </w:r>
      <w:r>
        <w:tab/>
      </w:r>
      <w:r>
        <w:tab/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Laboratory </w:t>
      </w:r>
      <w:r w:rsidR="00E07B38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reagents,</w:t>
      </w:r>
      <w:r w:rsidR="006A4B3D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“For research use only</w:t>
      </w:r>
      <w:r w:rsidR="2A64CBA0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”,</w:t>
      </w:r>
      <w:r w:rsidR="00E07B38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not for human use</w:t>
      </w:r>
      <w:r w:rsidR="00E6508F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14:paraId="11214E18" w14:textId="73C99B5F" w:rsidR="00E07B38" w:rsidRPr="007F0AC7" w:rsidRDefault="00E07B3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FE8C6AA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3ABE94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1.3 Details of the supplier of the safety data sheet</w:t>
      </w:r>
    </w:p>
    <w:p w14:paraId="72798951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Company: </w:t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Navinci Diagnostics AB</w:t>
      </w:r>
    </w:p>
    <w:p w14:paraId="49D49E10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BMC</w:t>
      </w:r>
    </w:p>
    <w:p w14:paraId="292C7D24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E07B38">
        <w:rPr>
          <w:rFonts w:ascii="Arial" w:hAnsi="Arial" w:cs="Arial"/>
          <w:color w:val="000000"/>
          <w:sz w:val="18"/>
          <w:szCs w:val="18"/>
          <w:lang w:val="en-US"/>
        </w:rPr>
        <w:t>Husargatan 3 (D</w:t>
      </w:r>
      <w:r w:rsidR="00E07B38" w:rsidRPr="00E07B38">
        <w:rPr>
          <w:rFonts w:ascii="Arial" w:hAnsi="Arial" w:cs="Arial"/>
          <w:color w:val="000000"/>
          <w:sz w:val="18"/>
          <w:szCs w:val="18"/>
          <w:lang w:val="en-US"/>
        </w:rPr>
        <w:t>11, level 1</w:t>
      </w:r>
      <w:r w:rsidRPr="00E07B38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6949D67B" w14:textId="0377E22D" w:rsidR="007F0A68" w:rsidRP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D2C99">
        <w:rPr>
          <w:rFonts w:ascii="Arial" w:hAnsi="Arial" w:cs="Arial"/>
          <w:color w:val="000000"/>
          <w:sz w:val="18"/>
          <w:szCs w:val="18"/>
          <w:lang w:val="en-US"/>
        </w:rPr>
        <w:t>75</w:t>
      </w:r>
      <w:r w:rsidR="00043AF4"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 124</w:t>
      </w:r>
      <w:r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 Uppsala, Sweden</w:t>
      </w:r>
    </w:p>
    <w:p w14:paraId="363D5DC9" w14:textId="676A5A38" w:rsidR="008D2C99" w:rsidRPr="008D2C99" w:rsidRDefault="007F0A68" w:rsidP="008D2C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Contact: </w:t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95087B">
        <w:rPr>
          <w:rFonts w:ascii="Arial" w:hAnsi="Arial" w:cs="Arial"/>
          <w:color w:val="000000"/>
          <w:sz w:val="18"/>
          <w:szCs w:val="18"/>
          <w:lang w:val="en-US"/>
        </w:rPr>
        <w:t>contact@navinci.se</w:t>
      </w:r>
    </w:p>
    <w:p w14:paraId="765823FB" w14:textId="6F840193" w:rsidR="007F0A68" w:rsidRP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54288E">
        <w:rPr>
          <w:rFonts w:ascii="Arial" w:hAnsi="Arial" w:cs="Arial"/>
          <w:color w:val="000000"/>
          <w:sz w:val="18"/>
          <w:szCs w:val="18"/>
          <w:lang w:val="en-US"/>
        </w:rPr>
        <w:t xml:space="preserve">Tel: </w:t>
      </w:r>
      <w:r w:rsidR="00B8181B" w:rsidRPr="0054288E">
        <w:rPr>
          <w:rFonts w:ascii="Arial" w:hAnsi="Arial" w:cs="Arial"/>
          <w:color w:val="000000"/>
          <w:sz w:val="18"/>
          <w:szCs w:val="18"/>
          <w:lang w:val="en-US"/>
        </w:rPr>
        <w:t>+(46)</w:t>
      </w:r>
      <w:r w:rsidR="00171514">
        <w:rPr>
          <w:rFonts w:ascii="Arial" w:hAnsi="Arial" w:cs="Arial"/>
          <w:color w:val="000000"/>
          <w:sz w:val="18"/>
          <w:szCs w:val="18"/>
          <w:lang w:val="en-US"/>
        </w:rPr>
        <w:t>764255911</w:t>
      </w:r>
    </w:p>
    <w:p w14:paraId="18C33821" w14:textId="77777777" w:rsidR="007F0A68" w:rsidRPr="0054288E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D596C03" w14:textId="2D6C88E3" w:rsidR="007F0A68" w:rsidRPr="0077349E" w:rsidRDefault="007F0A68" w:rsidP="00D7385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54288E">
        <w:rPr>
          <w:rFonts w:ascii="Arial" w:hAnsi="Arial" w:cs="Arial"/>
          <w:bCs/>
          <w:color w:val="000000"/>
          <w:sz w:val="18"/>
          <w:szCs w:val="18"/>
          <w:lang w:val="en-US"/>
        </w:rPr>
        <w:t>1.4 Emergency telephone number</w:t>
      </w:r>
      <w:r w:rsidR="00E07B3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="0077349E" w:rsidRPr="240F5CB7">
        <w:rPr>
          <w:rFonts w:ascii="Arial" w:hAnsi="Arial" w:cs="Arial"/>
          <w:color w:val="000000" w:themeColor="text1"/>
          <w:sz w:val="18"/>
          <w:szCs w:val="18"/>
        </w:rPr>
        <w:t>With</w:t>
      </w:r>
      <w:proofErr w:type="gramEnd"/>
      <w:r w:rsidR="0077349E" w:rsidRPr="240F5CB7">
        <w:rPr>
          <w:rFonts w:ascii="Arial" w:hAnsi="Arial" w:cs="Arial"/>
          <w:color w:val="000000" w:themeColor="text1"/>
          <w:sz w:val="18"/>
          <w:szCs w:val="18"/>
        </w:rPr>
        <w:t xml:space="preserve"> acute danger to life, </w:t>
      </w:r>
      <w:r w:rsidR="32417B41" w:rsidRPr="240F5CB7">
        <w:rPr>
          <w:rFonts w:ascii="Arial" w:hAnsi="Arial" w:cs="Arial"/>
          <w:color w:val="000000" w:themeColor="text1"/>
          <w:sz w:val="18"/>
          <w:szCs w:val="18"/>
        </w:rPr>
        <w:t>property,</w:t>
      </w:r>
      <w:r w:rsidR="0077349E" w:rsidRPr="240F5CB7">
        <w:rPr>
          <w:rFonts w:ascii="Arial" w:hAnsi="Arial" w:cs="Arial"/>
          <w:color w:val="000000" w:themeColor="text1"/>
          <w:sz w:val="18"/>
          <w:szCs w:val="18"/>
        </w:rPr>
        <w:t xml:space="preserve"> or environment </w:t>
      </w:r>
      <w:r w:rsidR="00C2575F" w:rsidRPr="240F5CB7">
        <w:rPr>
          <w:rFonts w:ascii="Arial" w:hAnsi="Arial" w:cs="Arial"/>
          <w:color w:val="000000" w:themeColor="text1"/>
          <w:sz w:val="18"/>
          <w:szCs w:val="18"/>
        </w:rPr>
        <w:t>–</w:t>
      </w:r>
      <w:r w:rsidR="0077349E" w:rsidRPr="240F5CB7">
        <w:rPr>
          <w:rFonts w:ascii="Arial" w:hAnsi="Arial" w:cs="Arial"/>
          <w:color w:val="000000" w:themeColor="text1"/>
          <w:sz w:val="18"/>
          <w:szCs w:val="18"/>
        </w:rPr>
        <w:t xml:space="preserve"> 112</w:t>
      </w:r>
    </w:p>
    <w:p w14:paraId="5AEA4D9E" w14:textId="77777777" w:rsidR="0054288E" w:rsidRPr="007F0AC7" w:rsidRDefault="0054288E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sv-SE"/>
        </w:rPr>
      </w:pPr>
      <w:r w:rsidRPr="007F0AC7">
        <w:rPr>
          <w:rFonts w:ascii="Arial" w:hAnsi="Arial" w:cs="Arial"/>
          <w:color w:val="000000"/>
          <w:sz w:val="18"/>
          <w:szCs w:val="18"/>
          <w:lang w:val="sv-SE"/>
        </w:rPr>
        <w:t>Vid akut fara för liv, egendom eller miljö - 112</w:t>
      </w:r>
    </w:p>
    <w:p w14:paraId="4A50F0A8" w14:textId="77777777" w:rsidR="007F0AC7" w:rsidRPr="0054288E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sv-SE"/>
        </w:rPr>
      </w:pPr>
    </w:p>
    <w:p w14:paraId="7A919357" w14:textId="575A9D49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2: Hazards identification</w:t>
      </w:r>
    </w:p>
    <w:p w14:paraId="3DCE7228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2.1 Classification of the substance or mixture</w:t>
      </w:r>
    </w:p>
    <w:p w14:paraId="33FE449F" w14:textId="77777777" w:rsidR="007F0A68" w:rsidRPr="007F0AC7" w:rsidRDefault="007F0A68" w:rsidP="008D2C99">
      <w:pPr>
        <w:autoSpaceDE w:val="0"/>
        <w:autoSpaceDN w:val="0"/>
        <w:adjustRightInd w:val="0"/>
        <w:spacing w:after="0" w:line="240" w:lineRule="auto"/>
        <w:ind w:left="288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 hazardous substance or mixture according to Regulation (EC) No. 1272/2008.</w:t>
      </w:r>
    </w:p>
    <w:p w14:paraId="3C9B444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2.2 Label elements</w:t>
      </w:r>
    </w:p>
    <w:p w14:paraId="2B98352F" w14:textId="77777777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 hazardous substance or mixture according to Regulation (EC) No. 1272/2008.</w:t>
      </w:r>
    </w:p>
    <w:p w14:paraId="093D258B" w14:textId="7AAC96C3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2.3 Other hazards </w:t>
      </w:r>
      <w:r w:rsidR="005A239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90536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A2392">
        <w:rPr>
          <w:rFonts w:ascii="Arial" w:hAnsi="Arial" w:cs="Arial"/>
          <w:color w:val="000000"/>
          <w:sz w:val="18"/>
          <w:szCs w:val="18"/>
          <w:lang w:val="en-US"/>
        </w:rPr>
        <w:t>N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one</w:t>
      </w:r>
    </w:p>
    <w:p w14:paraId="3A310A45" w14:textId="421FF2E7" w:rsidR="005A2392" w:rsidRPr="007F0AC7" w:rsidRDefault="005A2392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2.4 Potential health effects </w:t>
      </w:r>
      <w:r>
        <w:tab/>
      </w:r>
      <w:r w:rsidR="00A43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Avoid contact and inhalation. To our knowledge, the hazards of this material have not been thoroughly investigated. We recommend handling all chemicals with </w:t>
      </w:r>
      <w:r w:rsidR="484E095C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caution</w:t>
      </w:r>
      <w:r w:rsidR="00A43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14:paraId="4685275B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301AFC07" w14:textId="269B571B" w:rsidR="0001711C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3: Composition/information on ingredients</w:t>
      </w:r>
    </w:p>
    <w:p w14:paraId="700B0225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3.2 Mixtures</w:t>
      </w:r>
    </w:p>
    <w:p w14:paraId="57B6AF61" w14:textId="77777777" w:rsidR="009034ED" w:rsidRPr="000E68F2" w:rsidRDefault="009034ED" w:rsidP="00903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0E68F2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KIT COMPONENTS:</w:t>
      </w:r>
    </w:p>
    <w:p w14:paraId="1672F8C8" w14:textId="77777777" w:rsidR="009034ED" w:rsidRPr="00A65EDE" w:rsidRDefault="009034ED" w:rsidP="00903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10485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4111"/>
      </w:tblGrid>
      <w:tr w:rsidR="00F070C4" w:rsidRPr="00F070C4" w14:paraId="095C2470" w14:textId="77777777" w:rsidTr="001B26DC">
        <w:trPr>
          <w:cantSplit/>
        </w:trPr>
        <w:tc>
          <w:tcPr>
            <w:tcW w:w="2689" w:type="dxa"/>
            <w:vAlign w:val="center"/>
          </w:tcPr>
          <w:p w14:paraId="53BEC149" w14:textId="77777777" w:rsidR="009034ED" w:rsidRPr="00F070C4" w:rsidRDefault="009034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Product Description</w:t>
            </w:r>
          </w:p>
        </w:tc>
        <w:tc>
          <w:tcPr>
            <w:tcW w:w="1984" w:type="dxa"/>
            <w:vAlign w:val="center"/>
          </w:tcPr>
          <w:p w14:paraId="5809E2F0" w14:textId="77777777" w:rsidR="009034ED" w:rsidRPr="00F070C4" w:rsidRDefault="009034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Pictogram</w:t>
            </w:r>
          </w:p>
        </w:tc>
        <w:tc>
          <w:tcPr>
            <w:tcW w:w="1701" w:type="dxa"/>
            <w:vAlign w:val="center"/>
          </w:tcPr>
          <w:p w14:paraId="0E53EDBA" w14:textId="77777777" w:rsidR="009034ED" w:rsidRPr="00F070C4" w:rsidRDefault="009034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Hazard Statement </w:t>
            </w:r>
          </w:p>
        </w:tc>
        <w:tc>
          <w:tcPr>
            <w:tcW w:w="4111" w:type="dxa"/>
            <w:vAlign w:val="center"/>
          </w:tcPr>
          <w:p w14:paraId="44D3B88F" w14:textId="77777777" w:rsidR="009034ED" w:rsidRPr="00F070C4" w:rsidRDefault="009034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Complementary Information</w:t>
            </w:r>
          </w:p>
        </w:tc>
      </w:tr>
      <w:tr w:rsidR="00F070C4" w:rsidRPr="00F070C4" w14:paraId="1D0DEF4A" w14:textId="77777777" w:rsidTr="001B26DC">
        <w:trPr>
          <w:cantSplit/>
        </w:trPr>
        <w:tc>
          <w:tcPr>
            <w:tcW w:w="2689" w:type="dxa"/>
            <w:vAlign w:val="center"/>
          </w:tcPr>
          <w:p w14:paraId="1EA43ED6" w14:textId="7ED32211" w:rsidR="009034ED" w:rsidRPr="00F070C4" w:rsidRDefault="001012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Navenibody</w:t>
            </w:r>
            <w:proofErr w:type="spellEnd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70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14:paraId="71A088F8" w14:textId="77777777" w:rsidR="009034ED" w:rsidRDefault="009703C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NB.1.100.06</w:t>
            </w:r>
          </w:p>
          <w:p w14:paraId="2EEE920A" w14:textId="0327991E" w:rsidR="00F515DA" w:rsidRPr="00F070C4" w:rsidRDefault="00F515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116549B3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75C9171D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3E88B17D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325EE40D" w14:textId="77777777" w:rsidTr="001B26DC">
        <w:trPr>
          <w:cantSplit/>
        </w:trPr>
        <w:tc>
          <w:tcPr>
            <w:tcW w:w="2689" w:type="dxa"/>
            <w:vAlign w:val="center"/>
          </w:tcPr>
          <w:p w14:paraId="76388290" w14:textId="04CEE6D5" w:rsidR="009034ED" w:rsidRPr="00F070C4" w:rsidRDefault="001012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Navenibody</w:t>
            </w:r>
            <w:proofErr w:type="spellEnd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C670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14:paraId="75B619D9" w14:textId="77777777" w:rsidR="001B26DC" w:rsidRDefault="00F070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9703C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B.1.100.07</w:t>
            </w:r>
          </w:p>
          <w:p w14:paraId="3AA1AC6B" w14:textId="660A972F" w:rsidR="00F515DA" w:rsidRPr="00F070C4" w:rsidRDefault="00F515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67606A19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78D32A21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58042727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499D1C2A" w14:textId="77777777" w:rsidTr="001B26DC">
        <w:trPr>
          <w:cantSplit/>
        </w:trPr>
        <w:tc>
          <w:tcPr>
            <w:tcW w:w="2689" w:type="dxa"/>
            <w:vAlign w:val="center"/>
          </w:tcPr>
          <w:p w14:paraId="7D5F9B3D" w14:textId="6E451CBD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Block</w:t>
            </w:r>
            <w:r w:rsidR="001012CD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3264AF8" w14:textId="77777777" w:rsidR="009034ED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T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.1.100.01</w:t>
            </w:r>
          </w:p>
          <w:p w14:paraId="57D36F2A" w14:textId="32266C66" w:rsidR="00F515DA" w:rsidRPr="00F070C4" w:rsidRDefault="00F515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4,0 ml</w:t>
            </w:r>
          </w:p>
        </w:tc>
        <w:tc>
          <w:tcPr>
            <w:tcW w:w="1984" w:type="dxa"/>
            <w:vAlign w:val="center"/>
          </w:tcPr>
          <w:p w14:paraId="655C8FC6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2B047FE3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66AB02F3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120080E1" w14:textId="77777777" w:rsidTr="001B26DC">
        <w:trPr>
          <w:cantSplit/>
        </w:trPr>
        <w:tc>
          <w:tcPr>
            <w:tcW w:w="2689" w:type="dxa"/>
            <w:vAlign w:val="center"/>
          </w:tcPr>
          <w:p w14:paraId="2B4E42B6" w14:textId="0B205484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Diluent</w:t>
            </w:r>
            <w:r w:rsidR="001012CD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3ECE244" w14:textId="77777777" w:rsidR="009034ED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.1.100.0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14:paraId="74621695" w14:textId="602F7222" w:rsidR="00F515DA" w:rsidRPr="00F070C4" w:rsidRDefault="00F515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Volume – 8,0 ml</w:t>
            </w:r>
          </w:p>
        </w:tc>
        <w:tc>
          <w:tcPr>
            <w:tcW w:w="1984" w:type="dxa"/>
            <w:vAlign w:val="center"/>
          </w:tcPr>
          <w:p w14:paraId="7209437E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Not Applicable.</w:t>
            </w:r>
          </w:p>
        </w:tc>
        <w:tc>
          <w:tcPr>
            <w:tcW w:w="1701" w:type="dxa"/>
            <w:vAlign w:val="center"/>
          </w:tcPr>
          <w:p w14:paraId="686F323B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0CE6EC36" w14:textId="77777777" w:rsidR="009034ED" w:rsidRPr="00F070C4" w:rsidRDefault="009034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43617845" w14:textId="77777777" w:rsidTr="001B26DC">
        <w:trPr>
          <w:cantSplit/>
        </w:trPr>
        <w:tc>
          <w:tcPr>
            <w:tcW w:w="2689" w:type="dxa"/>
            <w:vAlign w:val="center"/>
          </w:tcPr>
          <w:p w14:paraId="385CE020" w14:textId="43947BA5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Buffer 1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83E4A01" w14:textId="77777777" w:rsidR="005148FC" w:rsidRDefault="00063813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NB</w:t>
            </w:r>
            <w:r w:rsidR="005148FC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.2.100.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17</w:t>
            </w:r>
          </w:p>
          <w:p w14:paraId="5E0F01CB" w14:textId="6A1E7371" w:rsidR="00E87D59" w:rsidRPr="00F070C4" w:rsidRDefault="00E87D59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</w:t>
            </w:r>
            <w:r w:rsidR="00CF0D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ml</w:t>
            </w:r>
          </w:p>
        </w:tc>
        <w:tc>
          <w:tcPr>
            <w:tcW w:w="1984" w:type="dxa"/>
            <w:vAlign w:val="center"/>
          </w:tcPr>
          <w:p w14:paraId="00C49E3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11F76DAB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5C36F4FD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2A8E8A9A" w14:textId="77777777" w:rsidTr="001B26DC">
        <w:trPr>
          <w:cantSplit/>
        </w:trPr>
        <w:tc>
          <w:tcPr>
            <w:tcW w:w="2689" w:type="dxa"/>
            <w:vAlign w:val="center"/>
          </w:tcPr>
          <w:p w14:paraId="0D4FD5DF" w14:textId="7DCD726C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Enzyme 1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B5AAB96" w14:textId="77777777" w:rsidR="005148FC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NF.2.100.11</w:t>
            </w:r>
          </w:p>
          <w:p w14:paraId="4ACC8794" w14:textId="10758D69" w:rsidR="004D024C" w:rsidRPr="00F070C4" w:rsidRDefault="004D024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237A221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1F7B9B36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63FE36F0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3E68C8C5" w14:textId="77777777" w:rsidTr="001B26DC">
        <w:trPr>
          <w:cantSplit/>
        </w:trPr>
        <w:tc>
          <w:tcPr>
            <w:tcW w:w="2689" w:type="dxa"/>
            <w:vAlign w:val="center"/>
          </w:tcPr>
          <w:p w14:paraId="396801A0" w14:textId="496CA368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Buffer 2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DF82789" w14:textId="77777777" w:rsidR="005148FC" w:rsidRDefault="00DF5BC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NT.2.100.01</w:t>
            </w:r>
          </w:p>
          <w:p w14:paraId="66131C22" w14:textId="72C73899" w:rsidR="00CF0DA5" w:rsidRPr="00F070C4" w:rsidRDefault="00CF0DA5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0,8 ml</w:t>
            </w:r>
          </w:p>
        </w:tc>
        <w:tc>
          <w:tcPr>
            <w:tcW w:w="1984" w:type="dxa"/>
            <w:vAlign w:val="center"/>
          </w:tcPr>
          <w:p w14:paraId="062B295C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40DE5C34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2D84100F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03E22D71" w14:textId="77777777" w:rsidTr="001B26DC">
        <w:trPr>
          <w:cantSplit/>
        </w:trPr>
        <w:tc>
          <w:tcPr>
            <w:tcW w:w="2689" w:type="dxa"/>
            <w:vAlign w:val="center"/>
          </w:tcPr>
          <w:p w14:paraId="54EB05AE" w14:textId="22822B5C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Enzyme 2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557AD70" w14:textId="77777777" w:rsidR="005148FC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NF.2.100.15</w:t>
            </w:r>
          </w:p>
          <w:p w14:paraId="5745D56D" w14:textId="5FA554B6" w:rsidR="004D024C" w:rsidRPr="00F070C4" w:rsidRDefault="004D024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2D19A20C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4B6A6BF8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4CBCD91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</w:tbl>
    <w:p w14:paraId="434208DB" w14:textId="77777777" w:rsidR="007F0AC7" w:rsidRPr="009034ED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14:paraId="715E3827" w14:textId="7A5252D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4: First aid measures</w:t>
      </w:r>
    </w:p>
    <w:p w14:paraId="17DF780E" w14:textId="426CD58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4.1 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>Skin contact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90536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>Rinse with plenty of water. Call a physician to seek medical advice if symptoms arise.</w:t>
      </w:r>
    </w:p>
    <w:p w14:paraId="78A79569" w14:textId="5E0A929E" w:rsidR="006116F2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4.2 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Eye contact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Wash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>thoroughly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after handling.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If eye or skin contact occurs, immediately wash </w:t>
      </w:r>
      <w:r w:rsidR="00DE6EC6">
        <w:rPr>
          <w:rFonts w:ascii="Arial" w:hAnsi="Arial" w:cs="Arial"/>
          <w:bCs/>
          <w:color w:val="000000"/>
          <w:sz w:val="18"/>
          <w:szCs w:val="18"/>
          <w:lang w:val="en-US"/>
        </w:rPr>
        <w:t>the affected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area with soap and copious amounts of water for at least 15 minutes. Assure adequate flushing by separating the eyelids with fingers. Call a physician to seek medical advice.</w:t>
      </w:r>
    </w:p>
    <w:p w14:paraId="793F47FB" w14:textId="357A8B5E" w:rsidR="006B761F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4.3. Ingestion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Never give anything by mouth to an unconscious person. Call a physician to seek medical advice if symptoms arise.</w:t>
      </w:r>
    </w:p>
    <w:p w14:paraId="5D44FA82" w14:textId="72FB7D5E" w:rsidR="006B761F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4.4. Inhalation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If swallowed, wash out mouth with water provided person is conscious and call a physician to seek medical advice. If inhaled, move </w:t>
      </w:r>
      <w:r w:rsidR="00FA1A75">
        <w:rPr>
          <w:rFonts w:ascii="Arial" w:hAnsi="Arial" w:cs="Arial"/>
          <w:bCs/>
          <w:color w:val="000000"/>
          <w:sz w:val="18"/>
          <w:szCs w:val="18"/>
          <w:lang w:val="en-US"/>
        </w:rPr>
        <w:t>the individual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to fresh air and call a physician to seek medical advice.</w:t>
      </w:r>
    </w:p>
    <w:p w14:paraId="730D6515" w14:textId="58DD5C99" w:rsidR="007F0A68" w:rsidRPr="007F0AC7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4.5. </w:t>
      </w:r>
      <w:r w:rsidR="007F0A68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Most important symptoms and effects, both acute and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delayed.</w:t>
      </w:r>
    </w:p>
    <w:p w14:paraId="45C9C3B4" w14:textId="11918B00" w:rsidR="007F0A68" w:rsidRPr="007F0AC7" w:rsidRDefault="007F0A68" w:rsidP="00590632">
      <w:pPr>
        <w:autoSpaceDE w:val="0"/>
        <w:autoSpaceDN w:val="0"/>
        <w:adjustRightInd w:val="0"/>
        <w:spacing w:after="0" w:line="240" w:lineRule="auto"/>
        <w:ind w:left="288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The most important known symptoms and effects are described in the labelling (see section 2.2</w:t>
      </w:r>
      <w:r w:rsidR="00905362">
        <w:rPr>
          <w:rFonts w:ascii="Arial" w:hAnsi="Arial" w:cs="Arial"/>
          <w:color w:val="000000"/>
          <w:sz w:val="18"/>
          <w:szCs w:val="18"/>
          <w:lang w:val="en-US"/>
        </w:rPr>
        <w:t xml:space="preserve">)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and/or in</w:t>
      </w:r>
      <w:r w:rsidR="009B15D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section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11.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14:paraId="528FFE22" w14:textId="339CDF52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4.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>6</w:t>
      </w: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Indication of any immediate medical attention and special treatment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needed.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E93F2DE" w14:textId="29AFA66A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AC107BB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2CD8F2C2" w14:textId="2C0A1B2B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5: Firefighting measures</w:t>
      </w:r>
    </w:p>
    <w:p w14:paraId="21FF8BBA" w14:textId="42B911F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5.1 Extinguishing media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B6188F4" w14:textId="1E69226E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5.2 Special hazards arising from the substance or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mixture.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3DA8EBE" w14:textId="50F3932A" w:rsidR="007F0A68" w:rsidRPr="005E043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B59BFA8" w14:textId="7E9E579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5.3 Advice for firefighters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EEB41D1" w14:textId="2DC660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5.4 Further information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C7F55C4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6248CF95" w14:textId="5229E692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6: Accidental release measures</w:t>
      </w:r>
    </w:p>
    <w:p w14:paraId="1E506D1C" w14:textId="74E0EABC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6.1 Personal precautions, protective </w:t>
      </w:r>
      <w:r w:rsidR="00A04D5A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equipment,</w:t>
      </w: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and emergency procedures</w:t>
      </w:r>
    </w:p>
    <w:p w14:paraId="0E7686D1" w14:textId="77777777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 personal protection see section 8.</w:t>
      </w:r>
    </w:p>
    <w:p w14:paraId="5C33A14A" w14:textId="2E606D94" w:rsidR="007F0A68" w:rsidRPr="005E043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6.2 Environmental precautions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552E04A" w14:textId="77777777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6.3 Methods and materials for containment and cleaning </w:t>
      </w:r>
      <w:proofErr w:type="gramStart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up</w:t>
      </w:r>
      <w:proofErr w:type="gramEnd"/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647F12F" w14:textId="445894D7" w:rsidR="007F0A68" w:rsidRPr="005E043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EF8B7B2" w14:textId="277324B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6.4 Reference to other section</w:t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disposal see section 13.</w:t>
      </w:r>
    </w:p>
    <w:p w14:paraId="31A1EFA2" w14:textId="77777777" w:rsidR="005E0437" w:rsidRDefault="005E043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06AC1A62" w14:textId="63D9B281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7: Handling and storage</w:t>
      </w:r>
    </w:p>
    <w:p w14:paraId="378E4BDC" w14:textId="199F52A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7.1 Precautions for safe handling</w:t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precautions see section 2.2.</w:t>
      </w:r>
    </w:p>
    <w:p w14:paraId="69010E70" w14:textId="374B1D9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7.2 Conditions for safe storage, including any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incompatibilities.</w:t>
      </w:r>
    </w:p>
    <w:p w14:paraId="6893BE85" w14:textId="21020CF7" w:rsidR="007F0A68" w:rsidRPr="007F0AC7" w:rsidRDefault="007F0A68" w:rsidP="00BF25BE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Keep container tightly closed in a dry and well-ventilated place. Store 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 xml:space="preserve">at </w:t>
      </w:r>
      <w:r w:rsidR="00BF25BE">
        <w:rPr>
          <w:rFonts w:ascii="Arial" w:hAnsi="Arial" w:cs="Arial"/>
          <w:color w:val="000000"/>
          <w:sz w:val="18"/>
          <w:szCs w:val="18"/>
          <w:lang w:val="en-US"/>
        </w:rPr>
        <w:t xml:space="preserve">the temperature 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>specified on the box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0700DA5F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7.3 Specific end use(s)</w:t>
      </w:r>
    </w:p>
    <w:p w14:paraId="46C6311F" w14:textId="66B8165A" w:rsidR="007F0A68" w:rsidRPr="007F0AC7" w:rsidRDefault="007F0A68" w:rsidP="00BA16C8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Apart from the uses mentioned in section 1.2</w:t>
      </w:r>
      <w:r w:rsidR="00BF25BE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no other specific uses are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stipulated.</w:t>
      </w:r>
    </w:p>
    <w:p w14:paraId="76DB3269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3C575E75" w14:textId="637E143C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8: Exposure controls/personal protection</w:t>
      </w:r>
    </w:p>
    <w:p w14:paraId="568F6308" w14:textId="10339064" w:rsidR="00043AF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8.1 Control parameters</w:t>
      </w:r>
      <w:r w:rsidR="0006062D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06062D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Contains no substances with occupational exposure limit values.</w:t>
      </w:r>
    </w:p>
    <w:p w14:paraId="37C70494" w14:textId="25370221" w:rsidR="00043AF4" w:rsidRPr="007F0AC7" w:rsidRDefault="00043AF4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>8.2. Personal protective equipment. Wear appropriate gloves, protective clothing and eyewear and follow safe laboratory practices.</w:t>
      </w:r>
    </w:p>
    <w:p w14:paraId="50CCC9EF" w14:textId="09ED3D1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8.2 Exposure controls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  <w:r w:rsidR="00D52C3E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6034C533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5B6BC325" w14:textId="3BC06D7A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lastRenderedPageBreak/>
        <w:t>SECTION 9: Physical and chemical properties</w:t>
      </w:r>
    </w:p>
    <w:p w14:paraId="502A3CC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9.1 Information on basic physical and chemical properties</w:t>
      </w:r>
    </w:p>
    <w:p w14:paraId="7F6B86EB" w14:textId="783C09F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a) Appearance Form: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  <w:t>L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iquid</w:t>
      </w:r>
    </w:p>
    <w:p w14:paraId="5B23EEA3" w14:textId="016C7FB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b)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Odor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>N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 data available</w:t>
      </w:r>
    </w:p>
    <w:p w14:paraId="0C86DA6E" w14:textId="3A6CB77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Odor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Threshold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C766110" w14:textId="77C7599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d) pH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F6F11C6" w14:textId="215F1C7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e) Melting point/freezing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point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A55CB6A" w14:textId="7C5A4C2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f) Initial boiling point and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boiling range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8695AFB" w14:textId="35C43FA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g) Flash point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CD40EE0" w14:textId="44CBE9F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h) Evaporation rate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E2DD4BF" w14:textId="5DDBE7A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) Flammability (solid, gas)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4AB3F3ED" w14:textId="5EC14D1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j) Upper/lower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flammability or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explosive limits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4A1A6BB" w14:textId="58529E4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k)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Vapor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pressure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88659C1" w14:textId="748DDA0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l)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Vapor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density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52E2AD6" w14:textId="00F179FD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m) Relative density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672E38F8" w14:textId="4AE18AB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n) Water solubility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0CF2667" w14:textId="1DE28B6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o) Partition coefficient: </w:t>
      </w: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noctanol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/water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07D9B79F" w14:textId="7AC9BC7D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p) Auto-ignition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temperature</w:t>
      </w:r>
      <w:r w:rsidR="00115F14" w:rsidRP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27836DA" w14:textId="2851113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q) Decomposition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temperature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8DCF1E2" w14:textId="49947ED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r) Viscosity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F3836C8" w14:textId="60D26E3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s) Explosive properties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6A9A5BAA" w14:textId="03DB47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t) Oxidizing properties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76EA5FC" w14:textId="7263B04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9.2 Other safety information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4E62B4D7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2AE28DB7" w14:textId="2D91D344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10: Stability and reactivity</w:t>
      </w:r>
    </w:p>
    <w:p w14:paraId="0F38B697" w14:textId="0E422029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10.1 Reactivity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4CCD033" w14:textId="19D8753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10.2 Chemical stability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9579E85" w14:textId="5F143D5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10.3 Possibility of hazardous reactions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0D0C495" w14:textId="2015EB9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10.4 Conditions to avoid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No data </w:t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available</w:t>
      </w:r>
      <w:proofErr w:type="gramEnd"/>
    </w:p>
    <w:p w14:paraId="5DF7F347" w14:textId="39A1E8F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10.5 Incompatible materials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25EABE1" w14:textId="6C264F0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10.6 Hazardous decomposition products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In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the event of fire: see section 5</w:t>
      </w:r>
    </w:p>
    <w:p w14:paraId="7549DC35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54F49B86" w14:textId="6E2DFCD8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11: Toxicological information</w:t>
      </w:r>
    </w:p>
    <w:p w14:paraId="46FF33C7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11.1 Information on toxicological effects</w:t>
      </w:r>
    </w:p>
    <w:p w14:paraId="6F724956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Acute toxicity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There is no evidence available indicating acute toxicity.</w:t>
      </w:r>
    </w:p>
    <w:p w14:paraId="0E744C0D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Irritation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1E96401A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Serious eye damage/eye irritation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0525F3D3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Sensitization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1C0798FB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Specific target organ toxicity - single exposure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6A8498EB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Specific target organ toxicity - repeated exposure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7BEB5100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Carcinogenicity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0D8F60D8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Mutagenicity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5082EB0D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Reproductive toxicity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49802E7C" w14:textId="48281DBF" w:rsidR="00BB73ED" w:rsidRPr="00BC6F02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highlight w:val="yellow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Aspiration hazard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</w:t>
      </w:r>
      <w:r w:rsidRPr="0090214A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but not sufficient for </w:t>
      </w:r>
      <w:r w:rsidR="00FA1A75" w:rsidRPr="0090214A">
        <w:rPr>
          <w:rFonts w:ascii="Arial" w:hAnsi="Arial" w:cs="Arial"/>
          <w:bCs/>
          <w:color w:val="000000"/>
          <w:sz w:val="18"/>
          <w:szCs w:val="18"/>
          <w:lang w:val="en-US"/>
        </w:rPr>
        <w:t>classification.</w:t>
      </w:r>
    </w:p>
    <w:p w14:paraId="55841FF1" w14:textId="77777777" w:rsidR="00BB73ED" w:rsidRPr="007F0AC7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677B4">
        <w:rPr>
          <w:rFonts w:ascii="Arial" w:hAnsi="Arial" w:cs="Arial"/>
          <w:color w:val="000000"/>
          <w:sz w:val="18"/>
          <w:szCs w:val="18"/>
          <w:lang w:val="en-US"/>
        </w:rPr>
        <w:t>RTECS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(Registry of Toxic Effects of Chemical Substances)</w:t>
      </w:r>
      <w:r w:rsidRPr="008677B4">
        <w:rPr>
          <w:rFonts w:ascii="Arial" w:hAnsi="Arial" w:cs="Arial"/>
          <w:color w:val="000000"/>
          <w:sz w:val="18"/>
          <w:szCs w:val="18"/>
          <w:lang w:val="en-US"/>
        </w:rPr>
        <w:t>: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available</w:t>
      </w:r>
    </w:p>
    <w:p w14:paraId="4AA1F81C" w14:textId="042027C8" w:rsidR="007F0A68" w:rsidRPr="007F0AC7" w:rsidRDefault="007F0A68" w:rsidP="00DB46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677B4">
        <w:rPr>
          <w:rFonts w:ascii="Arial" w:hAnsi="Arial" w:cs="Arial"/>
          <w:color w:val="000000"/>
          <w:sz w:val="18"/>
          <w:szCs w:val="18"/>
          <w:lang w:val="en-US"/>
        </w:rPr>
        <w:t>RTECS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EB3F52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>egistry of Toxic Effects of Chemical Substances)</w:t>
      </w:r>
      <w:r w:rsidRPr="008677B4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available</w:t>
      </w:r>
    </w:p>
    <w:p w14:paraId="0AEE2C81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42B83A0A" w14:textId="45027924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12: Ecological information</w:t>
      </w:r>
    </w:p>
    <w:p w14:paraId="309772BE" w14:textId="03141DD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12.1 Toxicity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3D19A616" w14:textId="5AFDBD6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12.2 Persistence and degradability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1C056346" w14:textId="10FA927C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12.3 </w:t>
      </w:r>
      <w:r w:rsidR="00F2395C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Bioaccumulative</w:t>
      </w: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potential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15BE40A2" w14:textId="4F298BF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12.4 Mobility in soil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3EC25647" w14:textId="50A693D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12.5 Results of PBT and </w:t>
      </w:r>
      <w:proofErr w:type="spellStart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vPvB</w:t>
      </w:r>
      <w:proofErr w:type="spellEnd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assessment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4074A9F3" w14:textId="2661685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PBT/</w:t>
      </w: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vPvB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assessment not available as chemical safety assessment not required/not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conducted.</w:t>
      </w:r>
    </w:p>
    <w:p w14:paraId="56A8A60B" w14:textId="13324E0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12.6 Other adverse effects</w:t>
      </w:r>
    </w:p>
    <w:p w14:paraId="0BE75708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1EF6DAE0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13: Disposal considerations</w:t>
      </w:r>
    </w:p>
    <w:p w14:paraId="101920E0" w14:textId="5E7ED375" w:rsidR="007F0A68" w:rsidRP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13.1 Waste treatment methods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88E47E5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F0EF423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14: Transport information</w:t>
      </w:r>
    </w:p>
    <w:p w14:paraId="4B615E2A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14.1 UN number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83D8FBC" w14:textId="19C8736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154493A1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14.2 UN proper shipping name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34FF140" w14:textId="18F845C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ADR/RID: Not dangerous goods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IMDG: Not dangerous goods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Not dangerous goods</w:t>
      </w:r>
    </w:p>
    <w:p w14:paraId="0770A5E5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14.3 Transport hazard class(es)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3FB80331" w14:textId="0AA5893C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72DDB2CA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14.4 Packaging group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0C64B06E" w14:textId="5561C5D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3C0E99E7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14.5 Environmental hazards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BE08FA7" w14:textId="5F33FAF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no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 Marine pollutant: no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no</w:t>
      </w:r>
    </w:p>
    <w:p w14:paraId="02BB8E49" w14:textId="61ACC179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14.6 Special precautions for user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3692878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04E363F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15: Regulatory information</w:t>
      </w:r>
    </w:p>
    <w:p w14:paraId="7A91C1A1" w14:textId="6F58868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15.1 Safety, </w:t>
      </w:r>
      <w:proofErr w:type="gramStart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health</w:t>
      </w:r>
      <w:proofErr w:type="gramEnd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and environmental regulations/legislation specific for the substance or mixture</w:t>
      </w:r>
      <w:r w:rsid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This safety datasheet complies with the requirements of Regulation (EC) No. 1907/2006.</w:t>
      </w:r>
    </w:p>
    <w:p w14:paraId="44BE439C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15.2 Chemical safety assessment</w:t>
      </w:r>
    </w:p>
    <w:p w14:paraId="523496E8" w14:textId="5F82C33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 this product a chemical safety assessment was not carried out</w:t>
      </w:r>
      <w:r w:rsidR="00E34135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03B35E38" w14:textId="77777777" w:rsidR="007F0AC7" w:rsidRPr="00CB75CC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54134BDB" w14:textId="7BF9012F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16: Other information</w:t>
      </w:r>
    </w:p>
    <w:p w14:paraId="1AAF6F2C" w14:textId="5748B1A4" w:rsidR="00A12C20" w:rsidRDefault="00A12C20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14:paraId="1AD3C56F" w14:textId="77777777" w:rsidR="00A12C20" w:rsidRPr="0090671D" w:rsidRDefault="00A12C20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14:paraId="173D820E" w14:textId="2F45309F" w:rsidR="00A40A32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Copyright </w:t>
      </w:r>
      <w:r w:rsidR="00463480">
        <w:rPr>
          <w:rFonts w:ascii="Arial" w:hAnsi="Arial" w:cs="Arial"/>
          <w:color w:val="000000"/>
          <w:sz w:val="18"/>
          <w:szCs w:val="18"/>
          <w:lang w:val="en-US"/>
        </w:rPr>
        <w:t>2020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63480">
        <w:rPr>
          <w:rFonts w:ascii="Arial" w:hAnsi="Arial" w:cs="Arial"/>
          <w:color w:val="000000"/>
          <w:sz w:val="18"/>
          <w:szCs w:val="18"/>
          <w:lang w:val="en-US"/>
        </w:rPr>
        <w:t>Navinci</w:t>
      </w:r>
      <w:proofErr w:type="spellEnd"/>
      <w:r w:rsidR="00463480">
        <w:rPr>
          <w:rFonts w:ascii="Arial" w:hAnsi="Arial" w:cs="Arial"/>
          <w:color w:val="000000"/>
          <w:sz w:val="18"/>
          <w:szCs w:val="18"/>
          <w:lang w:val="en-US"/>
        </w:rPr>
        <w:t xml:space="preserve"> Diagnostics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. License granted to make unlimited paper copies for internal use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only.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The above information is believed to be correct but does not purport to be all</w:t>
      </w:r>
      <w:r w:rsidR="00C9627A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inclusive and shall be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used only as a guide. The information in this document is based on the present state of our knowledge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and is applicable to the product 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>regarding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appropriate safety precautions. It does not represent any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g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uarantee of the properties of the product. </w:t>
      </w:r>
      <w:r w:rsidR="00463480">
        <w:rPr>
          <w:rFonts w:ascii="Arial" w:hAnsi="Arial" w:cs="Arial"/>
          <w:color w:val="000000"/>
          <w:sz w:val="18"/>
          <w:szCs w:val="18"/>
          <w:lang w:val="en-US"/>
        </w:rPr>
        <w:t>Navinci Diagnostics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AB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and its Affiliates shall not be held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liable for any damage resulting from handling or from contact with the above product. See the reverse side of invoice or packing slip for additional terms and conditions of sale.</w:t>
      </w:r>
    </w:p>
    <w:sectPr w:rsidR="00A40A32" w:rsidRPr="007F0AC7" w:rsidSect="00905362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5DEE" w14:textId="77777777" w:rsidR="0067068E" w:rsidRDefault="0067068E" w:rsidP="001F0D31">
      <w:pPr>
        <w:spacing w:after="0" w:line="240" w:lineRule="auto"/>
      </w:pPr>
      <w:r>
        <w:separator/>
      </w:r>
    </w:p>
  </w:endnote>
  <w:endnote w:type="continuationSeparator" w:id="0">
    <w:p w14:paraId="685695C8" w14:textId="77777777" w:rsidR="0067068E" w:rsidRDefault="0067068E" w:rsidP="001F0D31">
      <w:pPr>
        <w:spacing w:after="0" w:line="240" w:lineRule="auto"/>
      </w:pPr>
      <w:r>
        <w:continuationSeparator/>
      </w:r>
    </w:p>
  </w:endnote>
  <w:endnote w:type="continuationNotice" w:id="1">
    <w:p w14:paraId="5A5CE3B5" w14:textId="77777777" w:rsidR="0067068E" w:rsidRDefault="00670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1F1B" w14:textId="77777777" w:rsidR="00CB75CC" w:rsidRDefault="00534E05" w:rsidP="00CB75CC">
    <w:pPr>
      <w:pStyle w:val="Footer"/>
      <w:jc w:val="right"/>
    </w:pPr>
    <w:sdt>
      <w:sdtPr>
        <w:id w:val="-36791533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B148BC" w:rsidRPr="00BE20C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48BC" w:rsidRPr="00BE20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148BC" w:rsidRPr="00BE20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48BC" w:rsidRPr="00BE20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6BC602" w14:textId="19B3422E" w:rsidR="005E0437" w:rsidRDefault="00CB75CC" w:rsidP="00CB75CC">
    <w:pPr>
      <w:pStyle w:val="Footer"/>
      <w:rPr>
        <w:rFonts w:cstheme="minorHAnsi"/>
        <w:color w:val="833C0B" w:themeColor="accent2" w:themeShade="80"/>
      </w:rPr>
    </w:pPr>
    <w:r w:rsidRPr="00CB75CC">
      <w:rPr>
        <w:color w:val="833C0B" w:themeColor="accent2" w:themeShade="80"/>
      </w:rPr>
      <w:t>Navinci</w:t>
    </w:r>
    <w:r w:rsidR="00E07B38">
      <w:rPr>
        <w:color w:val="833C0B" w:themeColor="accent2" w:themeShade="80"/>
      </w:rPr>
      <w:t xml:space="preserve"> Diagnostics</w:t>
    </w:r>
    <w:r w:rsidRPr="00CB75CC">
      <w:rPr>
        <w:color w:val="833C0B" w:themeColor="accent2" w:themeShade="80"/>
      </w:rPr>
      <w:t xml:space="preserve"> </w:t>
    </w:r>
    <w:r w:rsidRPr="00CB75CC">
      <w:rPr>
        <w:rFonts w:cstheme="minorHAnsi"/>
        <w:color w:val="833C0B" w:themeColor="accent2" w:themeShade="80"/>
      </w:rPr>
      <w:t>™</w:t>
    </w:r>
  </w:p>
  <w:p w14:paraId="0CFEAD04" w14:textId="60D6C34B" w:rsidR="00E07B38" w:rsidRDefault="00E07B38" w:rsidP="00CB75CC">
    <w:pPr>
      <w:pStyle w:val="Footer"/>
    </w:pPr>
    <w:r>
      <w:rPr>
        <w:rFonts w:cstheme="minorHAnsi"/>
        <w:color w:val="833C0B" w:themeColor="accent2" w:themeShade="80"/>
      </w:rPr>
      <w:t>www.navinci.se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6EE2" w14:textId="77777777" w:rsidR="0067068E" w:rsidRDefault="0067068E" w:rsidP="001F0D31">
      <w:pPr>
        <w:spacing w:after="0" w:line="240" w:lineRule="auto"/>
      </w:pPr>
      <w:r>
        <w:separator/>
      </w:r>
    </w:p>
  </w:footnote>
  <w:footnote w:type="continuationSeparator" w:id="0">
    <w:p w14:paraId="797CA4EE" w14:textId="77777777" w:rsidR="0067068E" w:rsidRDefault="0067068E" w:rsidP="001F0D31">
      <w:pPr>
        <w:spacing w:after="0" w:line="240" w:lineRule="auto"/>
      </w:pPr>
      <w:r>
        <w:continuationSeparator/>
      </w:r>
    </w:p>
  </w:footnote>
  <w:footnote w:type="continuationNotice" w:id="1">
    <w:p w14:paraId="780F5C5D" w14:textId="77777777" w:rsidR="0067068E" w:rsidRDefault="006706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4EF9" w14:textId="0C68B63A" w:rsidR="00D50391" w:rsidRDefault="00DD65C8">
    <w:pPr>
      <w:pStyle w:val="Header"/>
      <w:jc w:val="center"/>
      <w:rPr>
        <w:color w:val="4472C4" w:themeColor="accent1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75DA7" wp14:editId="700ACC95">
          <wp:simplePos x="0" y="0"/>
          <wp:positionH relativeFrom="margin">
            <wp:align>right</wp:align>
          </wp:positionH>
          <wp:positionV relativeFrom="paragraph">
            <wp:posOffset>-28878</wp:posOffset>
          </wp:positionV>
          <wp:extent cx="621792" cy="649224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58A69" w14:textId="04B363CA" w:rsidR="00D50391" w:rsidRPr="00DD65C8" w:rsidRDefault="00D50391">
    <w:pPr>
      <w:pStyle w:val="Header"/>
      <w:jc w:val="center"/>
      <w:rPr>
        <w:caps/>
        <w:color w:val="C45911" w:themeColor="accent2" w:themeShade="BF"/>
        <w:sz w:val="36"/>
        <w:szCs w:val="36"/>
      </w:rPr>
    </w:pPr>
    <w:r w:rsidRPr="00DD65C8">
      <w:rPr>
        <w:caps/>
        <w:color w:val="C45911" w:themeColor="accent2" w:themeShade="BF"/>
        <w:sz w:val="36"/>
        <w:szCs w:val="36"/>
      </w:rPr>
      <w:t xml:space="preserve"> </w:t>
    </w:r>
    <w:sdt>
      <w:sdtPr>
        <w:rPr>
          <w:caps/>
          <w:color w:val="C45911" w:themeColor="accent2" w:themeShade="BF"/>
          <w:sz w:val="36"/>
          <w:szCs w:val="36"/>
        </w:rPr>
        <w:alias w:val="Title"/>
        <w:tag w:val=""/>
        <w:id w:val="-1954942076"/>
        <w:placeholder>
          <w:docPart w:val="22C861B7162C42B89F7C7FC52F20B2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71514" w:rsidRPr="00DD65C8">
          <w:rPr>
            <w:caps/>
            <w:color w:val="C45911" w:themeColor="accent2" w:themeShade="BF"/>
            <w:sz w:val="36"/>
            <w:szCs w:val="36"/>
          </w:rPr>
          <w:t>SAFETY DATA SHEET</w:t>
        </w:r>
      </w:sdtContent>
    </w:sdt>
  </w:p>
  <w:p w14:paraId="003F6697" w14:textId="6547BE9F" w:rsidR="001F0D31" w:rsidRDefault="001F0D31" w:rsidP="00DD65C8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Q3MzcyNjEwtzBV0lEKTi0uzszPAymwrAUAXcP36SwAAAA="/>
  </w:docVars>
  <w:rsids>
    <w:rsidRoot w:val="007F0A68"/>
    <w:rsid w:val="0001711C"/>
    <w:rsid w:val="00043AF4"/>
    <w:rsid w:val="0006062D"/>
    <w:rsid w:val="00063813"/>
    <w:rsid w:val="000723D2"/>
    <w:rsid w:val="00081F90"/>
    <w:rsid w:val="000A667D"/>
    <w:rsid w:val="000E1587"/>
    <w:rsid w:val="001012CD"/>
    <w:rsid w:val="00115F14"/>
    <w:rsid w:val="00117E4B"/>
    <w:rsid w:val="0015125C"/>
    <w:rsid w:val="00171514"/>
    <w:rsid w:val="00174E20"/>
    <w:rsid w:val="001B26DC"/>
    <w:rsid w:val="001F0D31"/>
    <w:rsid w:val="00237DEF"/>
    <w:rsid w:val="0027468C"/>
    <w:rsid w:val="00281D22"/>
    <w:rsid w:val="00297948"/>
    <w:rsid w:val="003367FE"/>
    <w:rsid w:val="003449EF"/>
    <w:rsid w:val="003D0D6E"/>
    <w:rsid w:val="003D2F12"/>
    <w:rsid w:val="00463480"/>
    <w:rsid w:val="004742F5"/>
    <w:rsid w:val="00483413"/>
    <w:rsid w:val="00486A8D"/>
    <w:rsid w:val="00490D02"/>
    <w:rsid w:val="004C0F40"/>
    <w:rsid w:val="004D024C"/>
    <w:rsid w:val="004D1F93"/>
    <w:rsid w:val="004D39BC"/>
    <w:rsid w:val="004F3DD6"/>
    <w:rsid w:val="005148FC"/>
    <w:rsid w:val="00534E05"/>
    <w:rsid w:val="00535943"/>
    <w:rsid w:val="00541036"/>
    <w:rsid w:val="0054288E"/>
    <w:rsid w:val="0054753D"/>
    <w:rsid w:val="0059057F"/>
    <w:rsid w:val="00590632"/>
    <w:rsid w:val="005938C2"/>
    <w:rsid w:val="005A2392"/>
    <w:rsid w:val="005B6BDB"/>
    <w:rsid w:val="005D5BAA"/>
    <w:rsid w:val="005E0437"/>
    <w:rsid w:val="005E3CC1"/>
    <w:rsid w:val="005E4B7D"/>
    <w:rsid w:val="006116F2"/>
    <w:rsid w:val="00621820"/>
    <w:rsid w:val="0067068E"/>
    <w:rsid w:val="006A4B3D"/>
    <w:rsid w:val="006B2AA7"/>
    <w:rsid w:val="006B761F"/>
    <w:rsid w:val="00704411"/>
    <w:rsid w:val="007345C8"/>
    <w:rsid w:val="007357B0"/>
    <w:rsid w:val="00741430"/>
    <w:rsid w:val="0074715A"/>
    <w:rsid w:val="00752C86"/>
    <w:rsid w:val="0077349E"/>
    <w:rsid w:val="0078396F"/>
    <w:rsid w:val="00792B29"/>
    <w:rsid w:val="007E5749"/>
    <w:rsid w:val="007F0A68"/>
    <w:rsid w:val="007F0AC7"/>
    <w:rsid w:val="007F7501"/>
    <w:rsid w:val="00807342"/>
    <w:rsid w:val="00831B17"/>
    <w:rsid w:val="00834EA8"/>
    <w:rsid w:val="00840790"/>
    <w:rsid w:val="008677B4"/>
    <w:rsid w:val="008D2C99"/>
    <w:rsid w:val="008E63A9"/>
    <w:rsid w:val="008E7D06"/>
    <w:rsid w:val="009034ED"/>
    <w:rsid w:val="00905362"/>
    <w:rsid w:val="0090671D"/>
    <w:rsid w:val="0095087B"/>
    <w:rsid w:val="009703C1"/>
    <w:rsid w:val="00987C42"/>
    <w:rsid w:val="009B15D7"/>
    <w:rsid w:val="00A04D5A"/>
    <w:rsid w:val="00A12C20"/>
    <w:rsid w:val="00A162E8"/>
    <w:rsid w:val="00A26B52"/>
    <w:rsid w:val="00A31D2A"/>
    <w:rsid w:val="00A40A32"/>
    <w:rsid w:val="00A43762"/>
    <w:rsid w:val="00A45CD1"/>
    <w:rsid w:val="00A97AFE"/>
    <w:rsid w:val="00AD0E3B"/>
    <w:rsid w:val="00AD143A"/>
    <w:rsid w:val="00AE1AD7"/>
    <w:rsid w:val="00AE3592"/>
    <w:rsid w:val="00B148BC"/>
    <w:rsid w:val="00B35A9A"/>
    <w:rsid w:val="00B665CF"/>
    <w:rsid w:val="00B8181B"/>
    <w:rsid w:val="00BA16C8"/>
    <w:rsid w:val="00BA70BC"/>
    <w:rsid w:val="00BB73ED"/>
    <w:rsid w:val="00BC32B0"/>
    <w:rsid w:val="00BD63A9"/>
    <w:rsid w:val="00BE20C4"/>
    <w:rsid w:val="00BF25BE"/>
    <w:rsid w:val="00C1550F"/>
    <w:rsid w:val="00C2575F"/>
    <w:rsid w:val="00C35FB6"/>
    <w:rsid w:val="00C665FE"/>
    <w:rsid w:val="00C77DFE"/>
    <w:rsid w:val="00C85A4A"/>
    <w:rsid w:val="00C866B3"/>
    <w:rsid w:val="00C9627A"/>
    <w:rsid w:val="00C97F9E"/>
    <w:rsid w:val="00CB75CC"/>
    <w:rsid w:val="00CE7BD0"/>
    <w:rsid w:val="00CF0DA5"/>
    <w:rsid w:val="00D242FF"/>
    <w:rsid w:val="00D25BE9"/>
    <w:rsid w:val="00D357C6"/>
    <w:rsid w:val="00D43B69"/>
    <w:rsid w:val="00D4451E"/>
    <w:rsid w:val="00D453C6"/>
    <w:rsid w:val="00D50391"/>
    <w:rsid w:val="00D52C3E"/>
    <w:rsid w:val="00D73859"/>
    <w:rsid w:val="00D7583F"/>
    <w:rsid w:val="00D76B60"/>
    <w:rsid w:val="00DB46DF"/>
    <w:rsid w:val="00DD5F20"/>
    <w:rsid w:val="00DD65C8"/>
    <w:rsid w:val="00DE0724"/>
    <w:rsid w:val="00DE6EC6"/>
    <w:rsid w:val="00DF5BCC"/>
    <w:rsid w:val="00E007A7"/>
    <w:rsid w:val="00E01842"/>
    <w:rsid w:val="00E0607F"/>
    <w:rsid w:val="00E07B38"/>
    <w:rsid w:val="00E07FED"/>
    <w:rsid w:val="00E11A49"/>
    <w:rsid w:val="00E17C11"/>
    <w:rsid w:val="00E2302C"/>
    <w:rsid w:val="00E24153"/>
    <w:rsid w:val="00E34135"/>
    <w:rsid w:val="00E61A1B"/>
    <w:rsid w:val="00E6508F"/>
    <w:rsid w:val="00E87D59"/>
    <w:rsid w:val="00EB3F52"/>
    <w:rsid w:val="00EC0975"/>
    <w:rsid w:val="00EE7DBC"/>
    <w:rsid w:val="00F0511F"/>
    <w:rsid w:val="00F070C4"/>
    <w:rsid w:val="00F1448E"/>
    <w:rsid w:val="00F2395C"/>
    <w:rsid w:val="00F434A9"/>
    <w:rsid w:val="00F515DA"/>
    <w:rsid w:val="00F60ACC"/>
    <w:rsid w:val="00F75E0B"/>
    <w:rsid w:val="00FA1A75"/>
    <w:rsid w:val="00FC6708"/>
    <w:rsid w:val="00FE498D"/>
    <w:rsid w:val="00FE58BA"/>
    <w:rsid w:val="062D4AAD"/>
    <w:rsid w:val="240F5CB7"/>
    <w:rsid w:val="2A64CBA0"/>
    <w:rsid w:val="30D4B762"/>
    <w:rsid w:val="32417B41"/>
    <w:rsid w:val="484E095C"/>
    <w:rsid w:val="537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DBC"/>
  <w15:chartTrackingRefBased/>
  <w15:docId w15:val="{6A42486B-6260-4519-9EFA-2DDCE97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3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0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1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0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F4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4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861B7162C42B89F7C7FC52F2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3B17-3DC9-486B-8176-F6609F3E1C83}"/>
      </w:docPartPr>
      <w:docPartBody>
        <w:p w:rsidR="006E4F18" w:rsidRDefault="00F7306E" w:rsidP="00F7306E">
          <w:pPr>
            <w:pStyle w:val="22C861B7162C42B89F7C7FC52F20B24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E"/>
    <w:rsid w:val="001C238C"/>
    <w:rsid w:val="00201B46"/>
    <w:rsid w:val="00315FE7"/>
    <w:rsid w:val="00323127"/>
    <w:rsid w:val="00377224"/>
    <w:rsid w:val="003F5C84"/>
    <w:rsid w:val="005170E8"/>
    <w:rsid w:val="005D2884"/>
    <w:rsid w:val="006E4F18"/>
    <w:rsid w:val="008650A8"/>
    <w:rsid w:val="00905DE7"/>
    <w:rsid w:val="00B078CB"/>
    <w:rsid w:val="00B426C0"/>
    <w:rsid w:val="00CA3263"/>
    <w:rsid w:val="00CE4CA8"/>
    <w:rsid w:val="00D969EE"/>
    <w:rsid w:val="00F7306E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861B7162C42B89F7C7FC52F20B24A">
    <w:name w:val="22C861B7162C42B89F7C7FC52F20B24A"/>
    <w:rsid w:val="00F7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087B40D777D4F95AA85B942C1D07B" ma:contentTypeVersion="11" ma:contentTypeDescription="Create a new document." ma:contentTypeScope="" ma:versionID="aa92367c62f0625a578f591f5957bd4e">
  <xsd:schema xmlns:xsd="http://www.w3.org/2001/XMLSchema" xmlns:xs="http://www.w3.org/2001/XMLSchema" xmlns:p="http://schemas.microsoft.com/office/2006/metadata/properties" xmlns:ns2="92c51a5e-32b8-4703-971b-01a31a97ddb3" xmlns:ns3="8f21c684-ad30-41c0-8896-681dfac8f563" targetNamespace="http://schemas.microsoft.com/office/2006/metadata/properties" ma:root="true" ma:fieldsID="156af7657491d9b4b914ba2c423ae8f9" ns2:_="" ns3:_="">
    <xsd:import namespace="92c51a5e-32b8-4703-971b-01a31a97ddb3"/>
    <xsd:import namespace="8f21c684-ad30-41c0-8896-681dfac8f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1a5e-32b8-4703-971b-01a31a97d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71baaac-8d5f-4045-9810-a27ee2824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c684-ad30-41c0-8896-681dfac8f56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98da0dc-23ad-4e79-a87c-c3584b7879e7}" ma:internalName="TaxCatchAll" ma:showField="CatchAllData" ma:web="8f21c684-ad30-41c0-8896-681dfac8f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1c684-ad30-41c0-8896-681dfac8f563" xsi:nil="true"/>
    <lcf76f155ced4ddcb4097134ff3c332f xmlns="92c51a5e-32b8-4703-971b-01a31a97dd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55209-B76C-4028-BC86-86C08B19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1a5e-32b8-4703-971b-01a31a97ddb3"/>
    <ds:schemaRef ds:uri="8f21c684-ad30-41c0-8896-681dfac8f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3E95D-B2A9-48FA-8EC6-AF8C8F0E292D}">
  <ds:schemaRefs>
    <ds:schemaRef ds:uri="http://schemas.microsoft.com/office/2006/metadata/properties"/>
    <ds:schemaRef ds:uri="http://schemas.microsoft.com/office/infopath/2007/PartnerControls"/>
    <ds:schemaRef ds:uri="8f21c684-ad30-41c0-8896-681dfac8f563"/>
    <ds:schemaRef ds:uri="92c51a5e-32b8-4703-971b-01a31a97ddb3"/>
  </ds:schemaRefs>
</ds:datastoreItem>
</file>

<file path=customXml/itemProps3.xml><?xml version="1.0" encoding="utf-8"?>
<ds:datastoreItem xmlns:ds="http://schemas.openxmlformats.org/officeDocument/2006/customXml" ds:itemID="{545386B6-4E39-412E-996B-35A264164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1511</Words>
  <Characters>8011</Characters>
  <Application>Microsoft Office Word</Application>
  <DocSecurity>0</DocSecurity>
  <Lines>66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subject/>
  <dc:creator>Moleculink AB</dc:creator>
  <cp:keywords/>
  <dc:description/>
  <cp:lastModifiedBy>Nancy Dekki</cp:lastModifiedBy>
  <cp:revision>71</cp:revision>
  <cp:lastPrinted>2023-05-25T09:10:00Z</cp:lastPrinted>
  <dcterms:created xsi:type="dcterms:W3CDTF">2021-09-10T13:08:00Z</dcterms:created>
  <dcterms:modified xsi:type="dcterms:W3CDTF">2023-09-06T11:58:00Z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0x0101000D6087B40D777D4F95AA85B942C1D07B</vt:lpwstr>
  </property>
  <property fmtid="{D5CDD505-2E9C-101B-9397-08002B2CF9AE}" pid="3" name="Order">
    <vt:r8>52600</vt:r8>
  </property>
  <property fmtid="{D5CDD505-2E9C-101B-9397-08002B2CF9AE}" pid="4" name="MediaServiceImageTags">
    <vt:lpwstr/>
  </property>
  <property fmtid="{D5CDD505-2E9C-101B-9397-08002B2CF9AE}" pid="5" name="GrammarlyDocumentId">
    <vt:lpwstr>779559d28901932fe232e9000478adbb1f08cff22054935f9de719427c26d605</vt:lpwstr>
  </property>
</Properties>
</file>